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3579" w14:textId="7B8CCE06" w:rsidR="004F0F03" w:rsidRDefault="00C92BDC" w:rsidP="00D93E0D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2016, the Queensland Government commissioned the Queensland Treasury Corporation to review Queensland’s financial assurance framework. </w:t>
      </w:r>
    </w:p>
    <w:p w14:paraId="77B56135" w14:textId="77777777" w:rsidR="00000C7C" w:rsidRPr="004F0F03" w:rsidRDefault="00C92BDC" w:rsidP="00D93E0D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F0F03">
        <w:rPr>
          <w:rFonts w:ascii="Arial" w:hAnsi="Arial" w:cs="Arial"/>
          <w:bCs/>
          <w:spacing w:val="-3"/>
          <w:sz w:val="22"/>
          <w:szCs w:val="22"/>
        </w:rPr>
        <w:t xml:space="preserve">The review made a number of recommendations to reduce Queensland’s exposure to the financial and environmental costs of managing land disturbed by resource activities. </w:t>
      </w:r>
    </w:p>
    <w:p w14:paraId="045F3102" w14:textId="77777777" w:rsidR="004F0F03" w:rsidRDefault="00C92BDC" w:rsidP="00D93E0D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response to that investigation and to further support the transparency of abandoned mine site management in Queensland, the Abandoned Mines </w:t>
      </w:r>
      <w:r w:rsidR="0012425C">
        <w:rPr>
          <w:rFonts w:ascii="Arial" w:hAnsi="Arial" w:cs="Arial"/>
          <w:bCs/>
          <w:spacing w:val="-3"/>
          <w:sz w:val="22"/>
          <w:szCs w:val="22"/>
        </w:rPr>
        <w:t xml:space="preserve">Management </w:t>
      </w:r>
      <w:r>
        <w:rPr>
          <w:rFonts w:ascii="Arial" w:hAnsi="Arial" w:cs="Arial"/>
          <w:bCs/>
          <w:spacing w:val="-3"/>
          <w:sz w:val="22"/>
          <w:szCs w:val="22"/>
        </w:rPr>
        <w:t>Policy has been developed</w:t>
      </w:r>
      <w:r w:rsidR="008C7388">
        <w:rPr>
          <w:rFonts w:ascii="Arial" w:hAnsi="Arial" w:cs="Arial"/>
          <w:bCs/>
          <w:spacing w:val="-3"/>
          <w:sz w:val="22"/>
          <w:szCs w:val="22"/>
        </w:rPr>
        <w:t xml:space="preserve"> with four primary purposes to make sites safe, secure, durable and, where possible, productive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52E7CBDA" w14:textId="77777777" w:rsidR="002639BA" w:rsidRPr="000108AF" w:rsidRDefault="00772427" w:rsidP="00D93E0D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BC285D" w:rsidRPr="000108AF">
        <w:rPr>
          <w:rFonts w:ascii="Arial" w:hAnsi="Arial" w:cs="Arial"/>
          <w:bCs/>
          <w:spacing w:val="-3"/>
          <w:sz w:val="22"/>
          <w:szCs w:val="22"/>
        </w:rPr>
        <w:t xml:space="preserve"> 2017</w:t>
      </w:r>
      <w:r w:rsidR="00E75D7D">
        <w:rPr>
          <w:rFonts w:ascii="Arial" w:hAnsi="Arial" w:cs="Arial"/>
          <w:bCs/>
          <w:spacing w:val="-3"/>
          <w:sz w:val="22"/>
          <w:szCs w:val="22"/>
        </w:rPr>
        <w:t>,</w:t>
      </w:r>
      <w:r w:rsidR="00BC285D" w:rsidRPr="000108A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54D9F" w:rsidRPr="000108AF">
        <w:rPr>
          <w:rFonts w:ascii="Arial" w:hAnsi="Arial" w:cs="Arial"/>
          <w:bCs/>
          <w:spacing w:val="-3"/>
          <w:sz w:val="22"/>
          <w:szCs w:val="22"/>
        </w:rPr>
        <w:t>the Queensland Government committed to investigating opportunities to improve the efficiency and timeliness of resource authority approval processes, and where possible, reduce the duplication between assessing agencies</w:t>
      </w:r>
      <w:r w:rsidR="00954D9F" w:rsidRPr="006962C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18457E4" w14:textId="77777777" w:rsidR="00BC285D" w:rsidRDefault="00C92BDC" w:rsidP="00D93E0D">
      <w:pPr>
        <w:numPr>
          <w:ilvl w:val="0"/>
          <w:numId w:val="1"/>
        </w:numPr>
        <w:tabs>
          <w:tab w:val="clear" w:pos="3338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39BA">
        <w:rPr>
          <w:rFonts w:ascii="Arial" w:hAnsi="Arial" w:cs="Arial"/>
          <w:bCs/>
          <w:spacing w:val="-3"/>
          <w:sz w:val="22"/>
          <w:szCs w:val="22"/>
        </w:rPr>
        <w:t xml:space="preserve">On 4 September 2018, through the Queensland Government’s ‘Get Involved’ website, interested persons were invited to make submissions on the commitment. </w:t>
      </w:r>
      <w:r>
        <w:rPr>
          <w:rFonts w:ascii="Arial" w:hAnsi="Arial" w:cs="Arial"/>
          <w:bCs/>
          <w:spacing w:val="-3"/>
          <w:sz w:val="22"/>
          <w:szCs w:val="22"/>
        </w:rPr>
        <w:t>Forty-four</w:t>
      </w:r>
      <w:r w:rsidRPr="002639BA">
        <w:rPr>
          <w:rFonts w:ascii="Arial" w:hAnsi="Arial" w:cs="Arial"/>
          <w:bCs/>
          <w:spacing w:val="-3"/>
          <w:sz w:val="22"/>
          <w:szCs w:val="22"/>
        </w:rPr>
        <w:t xml:space="preserve"> written submissions were received. </w:t>
      </w:r>
    </w:p>
    <w:p w14:paraId="6D2C9CAB" w14:textId="77777777" w:rsidR="00772427" w:rsidRPr="002639BA" w:rsidRDefault="00772427" w:rsidP="00D93E0D">
      <w:pPr>
        <w:numPr>
          <w:ilvl w:val="0"/>
          <w:numId w:val="1"/>
        </w:numPr>
        <w:tabs>
          <w:tab w:val="clear" w:pos="3338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72427">
        <w:rPr>
          <w:rFonts w:ascii="Arial" w:hAnsi="Arial" w:cs="Arial"/>
          <w:bCs/>
          <w:i/>
          <w:spacing w:val="-3"/>
          <w:sz w:val="22"/>
          <w:szCs w:val="22"/>
        </w:rPr>
        <w:t>Resource authority regulatory efficiency and duplication: Investigation, outcomes and actions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consultation report summaries the results of the investigation, </w:t>
      </w:r>
      <w:r w:rsidR="0057327A">
        <w:rPr>
          <w:rFonts w:ascii="Arial" w:hAnsi="Arial" w:cs="Arial"/>
          <w:bCs/>
          <w:spacing w:val="-3"/>
          <w:sz w:val="22"/>
          <w:szCs w:val="22"/>
        </w:rPr>
        <w:t xml:space="preserve">the actions that the </w:t>
      </w:r>
      <w:r w:rsidR="00913A2A">
        <w:rPr>
          <w:rFonts w:ascii="Arial" w:hAnsi="Arial" w:cs="Arial"/>
          <w:bCs/>
          <w:spacing w:val="-3"/>
          <w:sz w:val="22"/>
          <w:szCs w:val="22"/>
        </w:rPr>
        <w:t>g</w:t>
      </w:r>
      <w:r w:rsidR="0057327A">
        <w:rPr>
          <w:rFonts w:ascii="Arial" w:hAnsi="Arial" w:cs="Arial"/>
          <w:bCs/>
          <w:spacing w:val="-3"/>
          <w:sz w:val="22"/>
          <w:szCs w:val="22"/>
        </w:rPr>
        <w:t>overnment will implement in response to submissions as well as how individual submissions were considered.</w:t>
      </w:r>
    </w:p>
    <w:p w14:paraId="638339F7" w14:textId="77777777" w:rsidR="000E5253" w:rsidRPr="00C513AF" w:rsidRDefault="000E5253" w:rsidP="00D93E0D">
      <w:pPr>
        <w:numPr>
          <w:ilvl w:val="0"/>
          <w:numId w:val="1"/>
        </w:numPr>
        <w:tabs>
          <w:tab w:val="clear" w:pos="3338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4F0F0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D468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F0F0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public </w:t>
      </w:r>
      <w:r w:rsidRPr="004F0F03">
        <w:rPr>
          <w:rFonts w:ascii="Arial" w:hAnsi="Arial" w:cs="Arial"/>
          <w:bCs/>
          <w:spacing w:val="-3"/>
          <w:sz w:val="22"/>
          <w:szCs w:val="22"/>
        </w:rPr>
        <w:t>release of the Abandoned Mines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Management</w:t>
      </w:r>
      <w:r w:rsidRPr="004F0F03">
        <w:rPr>
          <w:rFonts w:ascii="Arial" w:hAnsi="Arial" w:cs="Arial"/>
          <w:bCs/>
          <w:spacing w:val="-3"/>
          <w:sz w:val="22"/>
          <w:szCs w:val="22"/>
        </w:rPr>
        <w:t xml:space="preserve"> Policy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C539DA9" w14:textId="77777777" w:rsidR="002639BA" w:rsidRDefault="00C92BDC" w:rsidP="00D93E0D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F8024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7327A">
        <w:rPr>
          <w:rFonts w:ascii="Arial" w:hAnsi="Arial" w:cs="Arial"/>
          <w:bCs/>
          <w:spacing w:val="-3"/>
          <w:sz w:val="22"/>
          <w:szCs w:val="22"/>
        </w:rPr>
        <w:t xml:space="preserve">the public </w:t>
      </w:r>
      <w:r w:rsidRPr="00F8024E">
        <w:rPr>
          <w:rFonts w:ascii="Arial" w:hAnsi="Arial" w:cs="Arial"/>
          <w:bCs/>
          <w:spacing w:val="-3"/>
          <w:sz w:val="22"/>
          <w:szCs w:val="22"/>
        </w:rPr>
        <w:t>release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</w:t>
      </w:r>
      <w:r w:rsidRPr="00F8024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4C56EC">
        <w:rPr>
          <w:rFonts w:ascii="Arial" w:hAnsi="Arial" w:cs="Arial"/>
          <w:bCs/>
          <w:i/>
          <w:spacing w:val="-3"/>
          <w:sz w:val="22"/>
          <w:szCs w:val="22"/>
        </w:rPr>
        <w:t>Resource authority regulatory efficiency and duplication: Investigation, Outcomes and Actions</w:t>
      </w:r>
      <w:r w:rsidR="00954D9F">
        <w:rPr>
          <w:rFonts w:ascii="Arial" w:hAnsi="Arial" w:cs="Arial"/>
          <w:bCs/>
          <w:spacing w:val="-3"/>
          <w:sz w:val="22"/>
          <w:szCs w:val="22"/>
        </w:rPr>
        <w:t>.</w:t>
      </w:r>
      <w:r w:rsidR="00954D9F" w:rsidRPr="00F8024E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ED42991" w14:textId="70499411" w:rsidR="00BC6952" w:rsidRPr="00C07656" w:rsidRDefault="00C92BDC" w:rsidP="00D93E0D">
      <w:pPr>
        <w:keepNext/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C4BA353" w14:textId="2719B66C" w:rsidR="00000C7C" w:rsidRPr="00BE5333" w:rsidRDefault="00BA5AE0" w:rsidP="00D93E0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10" w:history="1">
        <w:r w:rsidR="00C92BDC" w:rsidRPr="00BE5333">
          <w:rPr>
            <w:rStyle w:val="Hyperlink"/>
            <w:rFonts w:ascii="Arial" w:hAnsi="Arial" w:cs="Arial"/>
            <w:sz w:val="22"/>
            <w:szCs w:val="22"/>
          </w:rPr>
          <w:t>Queensland Government Abandoned Mines Management Policy</w:t>
        </w:r>
      </w:hyperlink>
      <w:r w:rsidR="00C92BDC" w:rsidRPr="00BE533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CC58689" w14:textId="4DBCB3E0" w:rsidR="00F8024E" w:rsidRPr="00AD7D3E" w:rsidRDefault="00BA5AE0" w:rsidP="00BE5333">
      <w:pPr>
        <w:numPr>
          <w:ilvl w:val="0"/>
          <w:numId w:val="2"/>
        </w:numPr>
        <w:spacing w:before="120"/>
        <w:ind w:left="811"/>
        <w:rPr>
          <w:rFonts w:ascii="Arial" w:hAnsi="Arial" w:cs="Arial"/>
          <w:color w:val="auto"/>
          <w:sz w:val="22"/>
          <w:szCs w:val="22"/>
        </w:rPr>
      </w:pPr>
      <w:hyperlink r:id="rId11" w:history="1">
        <w:r w:rsidR="00C92BDC" w:rsidRPr="00BE5333">
          <w:rPr>
            <w:rStyle w:val="Hyperlink"/>
            <w:rFonts w:ascii="Arial" w:hAnsi="Arial" w:cs="Arial"/>
            <w:i/>
            <w:sz w:val="22"/>
            <w:szCs w:val="22"/>
          </w:rPr>
          <w:t>Resource authority regulat</w:t>
        </w:r>
        <w:r w:rsidR="00000C7C" w:rsidRPr="00BE5333">
          <w:rPr>
            <w:rStyle w:val="Hyperlink"/>
            <w:rFonts w:ascii="Arial" w:hAnsi="Arial" w:cs="Arial"/>
            <w:i/>
            <w:sz w:val="22"/>
            <w:szCs w:val="22"/>
          </w:rPr>
          <w:t xml:space="preserve">ory efficiency and duplication: </w:t>
        </w:r>
        <w:r w:rsidR="00C92BDC" w:rsidRPr="00BE5333">
          <w:rPr>
            <w:rStyle w:val="Hyperlink"/>
            <w:rFonts w:ascii="Arial" w:hAnsi="Arial" w:cs="Arial"/>
            <w:i/>
            <w:sz w:val="22"/>
            <w:szCs w:val="22"/>
          </w:rPr>
          <w:t>Investigation, Outcomes and Actions</w:t>
        </w:r>
      </w:hyperlink>
    </w:p>
    <w:sectPr w:rsidR="00F8024E" w:rsidRPr="00AD7D3E" w:rsidSect="006416F5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CF3D0" w14:textId="77777777" w:rsidR="00516C4E" w:rsidRDefault="00516C4E">
      <w:r>
        <w:separator/>
      </w:r>
    </w:p>
  </w:endnote>
  <w:endnote w:type="continuationSeparator" w:id="0">
    <w:p w14:paraId="6D8C1512" w14:textId="77777777" w:rsidR="00516C4E" w:rsidRDefault="0051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9E138" w14:textId="77777777" w:rsidR="00516C4E" w:rsidRDefault="00516C4E">
      <w:r>
        <w:separator/>
      </w:r>
    </w:p>
  </w:footnote>
  <w:footnote w:type="continuationSeparator" w:id="0">
    <w:p w14:paraId="3CC0D0A9" w14:textId="77777777" w:rsidR="00516C4E" w:rsidRDefault="0051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32E4" w14:textId="77777777" w:rsidR="00950178" w:rsidRPr="00D75134" w:rsidRDefault="00C92BD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32061B30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F4DC96B" w14:textId="77777777" w:rsidR="00950178" w:rsidRPr="001E209B" w:rsidRDefault="00C92BD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4F57B0">
      <w:rPr>
        <w:rFonts w:ascii="Arial" w:hAnsi="Arial" w:cs="Arial"/>
        <w:b/>
        <w:sz w:val="22"/>
        <w:szCs w:val="22"/>
      </w:rPr>
      <w:t>September</w:t>
    </w:r>
    <w:r w:rsidR="00F8024E">
      <w:rPr>
        <w:rFonts w:ascii="Arial" w:hAnsi="Arial" w:cs="Arial"/>
        <w:b/>
        <w:sz w:val="22"/>
        <w:szCs w:val="22"/>
      </w:rPr>
      <w:t xml:space="preserve"> 2019</w:t>
    </w:r>
  </w:p>
  <w:p w14:paraId="5634E490" w14:textId="77777777" w:rsidR="00950178" w:rsidRDefault="00C92BD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Abandoned Mines Management Policy and resource authority regulatory efficiency and duplication consultation report</w:t>
    </w:r>
  </w:p>
  <w:p w14:paraId="46314838" w14:textId="77777777" w:rsidR="00950178" w:rsidRDefault="00C92BD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</w:t>
    </w:r>
    <w:r w:rsidR="00E75006">
      <w:rPr>
        <w:rFonts w:ascii="Arial" w:hAnsi="Arial" w:cs="Arial"/>
        <w:b/>
        <w:sz w:val="22"/>
        <w:szCs w:val="22"/>
        <w:u w:val="single"/>
      </w:rPr>
      <w:t>,</w:t>
    </w:r>
    <w:r w:rsidR="00791A9C">
      <w:rPr>
        <w:rFonts w:ascii="Arial" w:hAnsi="Arial" w:cs="Arial"/>
        <w:b/>
        <w:sz w:val="22"/>
        <w:szCs w:val="22"/>
        <w:u w:val="single"/>
      </w:rPr>
      <w:t xml:space="preserve"> Mines</w:t>
    </w:r>
    <w:r w:rsidR="00E75006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6BAC795D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9DCE7CC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B60A2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C22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909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766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ECB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6CE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EC8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8A8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38EAD28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/>
      </w:rPr>
    </w:lvl>
    <w:lvl w:ilvl="1" w:tplc="046026C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730AB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D07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EE4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6AB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9E3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A62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88F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4E"/>
    <w:rsid w:val="00000C7C"/>
    <w:rsid w:val="000108AF"/>
    <w:rsid w:val="000321B3"/>
    <w:rsid w:val="000430DD"/>
    <w:rsid w:val="00080F8F"/>
    <w:rsid w:val="000E5253"/>
    <w:rsid w:val="0012425C"/>
    <w:rsid w:val="00140936"/>
    <w:rsid w:val="00151E31"/>
    <w:rsid w:val="00184F43"/>
    <w:rsid w:val="001B06AC"/>
    <w:rsid w:val="001E1C8B"/>
    <w:rsid w:val="001E209B"/>
    <w:rsid w:val="001F6D94"/>
    <w:rsid w:val="0021344B"/>
    <w:rsid w:val="002216A1"/>
    <w:rsid w:val="0022420A"/>
    <w:rsid w:val="00252027"/>
    <w:rsid w:val="002639BA"/>
    <w:rsid w:val="00331B2C"/>
    <w:rsid w:val="00353A6A"/>
    <w:rsid w:val="003A48EE"/>
    <w:rsid w:val="003B5871"/>
    <w:rsid w:val="003C7570"/>
    <w:rsid w:val="0045703B"/>
    <w:rsid w:val="004C56EC"/>
    <w:rsid w:val="004E3AE1"/>
    <w:rsid w:val="004F0F03"/>
    <w:rsid w:val="004F57B0"/>
    <w:rsid w:val="00501C66"/>
    <w:rsid w:val="00506D9D"/>
    <w:rsid w:val="00516C4E"/>
    <w:rsid w:val="0057327A"/>
    <w:rsid w:val="005D468A"/>
    <w:rsid w:val="00613E6B"/>
    <w:rsid w:val="006171FF"/>
    <w:rsid w:val="006416F5"/>
    <w:rsid w:val="006962C5"/>
    <w:rsid w:val="006E4B70"/>
    <w:rsid w:val="006F390F"/>
    <w:rsid w:val="00711178"/>
    <w:rsid w:val="007261B0"/>
    <w:rsid w:val="00732E22"/>
    <w:rsid w:val="00740EF5"/>
    <w:rsid w:val="00772427"/>
    <w:rsid w:val="00791A9C"/>
    <w:rsid w:val="00843BCA"/>
    <w:rsid w:val="008A4523"/>
    <w:rsid w:val="008C7388"/>
    <w:rsid w:val="008F44CD"/>
    <w:rsid w:val="009076E1"/>
    <w:rsid w:val="00913A2A"/>
    <w:rsid w:val="00932E37"/>
    <w:rsid w:val="00950178"/>
    <w:rsid w:val="009512FB"/>
    <w:rsid w:val="00954D9F"/>
    <w:rsid w:val="00A527A5"/>
    <w:rsid w:val="00A604A3"/>
    <w:rsid w:val="00A941CE"/>
    <w:rsid w:val="00AD7D3E"/>
    <w:rsid w:val="00AF1C96"/>
    <w:rsid w:val="00BA5AE0"/>
    <w:rsid w:val="00BC285D"/>
    <w:rsid w:val="00BC6952"/>
    <w:rsid w:val="00BE5333"/>
    <w:rsid w:val="00C06447"/>
    <w:rsid w:val="00C07656"/>
    <w:rsid w:val="00C34895"/>
    <w:rsid w:val="00C513AF"/>
    <w:rsid w:val="00C61324"/>
    <w:rsid w:val="00C92BDC"/>
    <w:rsid w:val="00CE6FBA"/>
    <w:rsid w:val="00CE7F5C"/>
    <w:rsid w:val="00CF0D8A"/>
    <w:rsid w:val="00D6589B"/>
    <w:rsid w:val="00D75134"/>
    <w:rsid w:val="00D93E0D"/>
    <w:rsid w:val="00DB6FE7"/>
    <w:rsid w:val="00DE61EC"/>
    <w:rsid w:val="00E75006"/>
    <w:rsid w:val="00E75D7D"/>
    <w:rsid w:val="00F10DF9"/>
    <w:rsid w:val="00F41F62"/>
    <w:rsid w:val="00F52A1E"/>
    <w:rsid w:val="00F8024E"/>
    <w:rsid w:val="00F82A8F"/>
    <w:rsid w:val="00FC604A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4D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24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F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0F0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0F03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0F03"/>
    <w:rPr>
      <w:rFonts w:ascii="Times New Roman" w:hAnsi="Times New Roman"/>
      <w:b/>
      <w:bCs/>
      <w:color w:val="000000"/>
    </w:rPr>
  </w:style>
  <w:style w:type="character" w:styleId="Hyperlink">
    <w:name w:val="Hyperlink"/>
    <w:basedOn w:val="DefaultParagraphFont"/>
    <w:unhideWhenUsed/>
    <w:rsid w:val="00A604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604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port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Polic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7216C-B46D-4E46-A041-D91439FF3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4AE61-41EE-41F6-8E4A-A52F1475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D028D-5852-4478-B43D-B9F19CB28F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1481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1706</CharactersWithSpaces>
  <SharedDoc>false</SharedDoc>
  <HyperlinkBase>https://www.cabinet.qld.gov.au/documents/2019/Sep/AbMinPol/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10</cp:revision>
  <cp:lastPrinted>2019-08-08T01:26:00Z</cp:lastPrinted>
  <dcterms:created xsi:type="dcterms:W3CDTF">2019-10-21T05:57:00Z</dcterms:created>
  <dcterms:modified xsi:type="dcterms:W3CDTF">2020-01-29T01:20:00Z</dcterms:modified>
  <cp:category>Mining,Environment,Regulatory_Reform,Safety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_NewReviewCycle">
    <vt:lpwstr/>
  </property>
</Properties>
</file>